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4377" w:val="left" w:leader="none"/>
        </w:tabs>
        <w:spacing w:before="78"/>
        <w:ind w:right="95"/>
        <w:rPr>
          <w:b w:val="0"/>
        </w:rPr>
      </w:pPr>
      <w:r>
        <w:rPr/>
        <w:t>Арбитражный суд </w:t>
      </w:r>
      <w:r>
        <w:rPr>
          <w:b w:val="0"/>
          <w:u w:val="single"/>
        </w:rPr>
        <w:tab/>
      </w:r>
    </w:p>
    <w:p>
      <w:pPr>
        <w:tabs>
          <w:tab w:pos="3002" w:val="left" w:leader="none"/>
        </w:tabs>
        <w:spacing w:before="0"/>
        <w:ind w:left="0" w:right="95" w:firstLine="0"/>
        <w:jc w:val="right"/>
        <w:rPr>
          <w:sz w:val="24"/>
        </w:rPr>
      </w:pPr>
      <w:r>
        <w:rPr>
          <w:b/>
          <w:sz w:val="24"/>
        </w:rPr>
        <w:t>Судье: </w:t>
      </w:r>
      <w:r>
        <w:rPr>
          <w:sz w:val="24"/>
          <w:u w:val="single"/>
        </w:rPr>
        <w:tab/>
      </w:r>
    </w:p>
    <w:p>
      <w:pPr>
        <w:spacing w:before="1"/>
        <w:ind w:left="9940" w:right="0" w:firstLine="0"/>
        <w:jc w:val="left"/>
        <w:rPr>
          <w:sz w:val="18"/>
        </w:rPr>
      </w:pPr>
      <w:r>
        <w:rPr>
          <w:color w:val="1F2023"/>
          <w:spacing w:val="-2"/>
          <w:sz w:val="18"/>
        </w:rPr>
        <w:t>(адрес)</w:t>
      </w:r>
    </w:p>
    <w:p>
      <w:pPr>
        <w:pStyle w:val="BodyText"/>
        <w:spacing w:before="68"/>
        <w:rPr>
          <w:sz w:val="18"/>
        </w:rPr>
      </w:pPr>
    </w:p>
    <w:p>
      <w:pPr>
        <w:pStyle w:val="Heading1"/>
        <w:ind w:right="152"/>
      </w:pPr>
      <w:r>
        <w:rPr/>
        <w:t>Финансовому</w:t>
      </w:r>
      <w:r>
        <w:rPr>
          <w:spacing w:val="-1"/>
        </w:rPr>
        <w:t> </w:t>
      </w:r>
      <w:r>
        <w:rPr>
          <w:spacing w:val="-2"/>
        </w:rPr>
        <w:t>управляющему</w:t>
      </w:r>
    </w:p>
    <w:p>
      <w:pPr>
        <w:spacing w:before="0"/>
        <w:ind w:left="0" w:right="149" w:firstLine="0"/>
        <w:jc w:val="right"/>
        <w:rPr>
          <w:b/>
          <w:sz w:val="24"/>
        </w:rPr>
      </w:pPr>
      <w:r>
        <w:rPr>
          <w:b/>
          <w:spacing w:val="-2"/>
          <w:sz w:val="24"/>
        </w:rPr>
        <w:t>(ФИО)</w:t>
      </w:r>
    </w:p>
    <w:p>
      <w:pPr>
        <w:spacing w:before="1"/>
        <w:ind w:left="9878" w:right="0" w:firstLine="0"/>
        <w:jc w:val="left"/>
        <w:rPr>
          <w:sz w:val="20"/>
        </w:rPr>
      </w:pPr>
      <w:r>
        <w:rPr>
          <w:spacing w:val="-2"/>
          <w:sz w:val="20"/>
        </w:rPr>
        <w:t>(адрес)</w:t>
      </w:r>
    </w:p>
    <w:p>
      <w:pPr>
        <w:pStyle w:val="BodyText"/>
        <w:rPr>
          <w:sz w:val="20"/>
        </w:rPr>
      </w:pPr>
    </w:p>
    <w:p>
      <w:pPr>
        <w:pStyle w:val="Heading1"/>
        <w:ind w:left="6099" w:right="150" w:firstLine="3067"/>
      </w:pPr>
      <w:r>
        <w:rPr>
          <w:spacing w:val="-2"/>
        </w:rPr>
        <w:t>Кредиторы:</w:t>
      </w:r>
      <w:r>
        <w:rPr>
          <w:spacing w:val="-2"/>
        </w:rPr>
        <w:t> </w:t>
      </w:r>
      <w:r>
        <w:rPr/>
        <w:t>(наименование</w:t>
      </w:r>
      <w:r>
        <w:rPr>
          <w:spacing w:val="-11"/>
        </w:rPr>
        <w:t> </w:t>
      </w:r>
      <w:r>
        <w:rPr/>
        <w:t>кредитной</w:t>
      </w:r>
      <w:r>
        <w:rPr>
          <w:spacing w:val="-7"/>
        </w:rPr>
        <w:t> </w:t>
      </w:r>
      <w:r>
        <w:rPr>
          <w:spacing w:val="-2"/>
        </w:rPr>
        <w:t>организации)</w:t>
      </w:r>
    </w:p>
    <w:p>
      <w:pPr>
        <w:pStyle w:val="BodyText"/>
        <w:ind w:right="151"/>
        <w:jc w:val="right"/>
      </w:pPr>
      <w:r>
        <w:rPr>
          <w:spacing w:val="-2"/>
        </w:rPr>
        <w:t>(адрес)</w:t>
      </w:r>
    </w:p>
    <w:p>
      <w:pPr>
        <w:pStyle w:val="Heading1"/>
        <w:spacing w:before="230"/>
        <w:ind w:right="149"/>
      </w:pPr>
      <w:r>
        <w:rPr/>
        <w:t>От</w:t>
      </w:r>
      <w:r>
        <w:rPr>
          <w:spacing w:val="-1"/>
        </w:rPr>
        <w:t> </w:t>
      </w:r>
      <w:r>
        <w:rPr>
          <w:spacing w:val="-2"/>
        </w:rPr>
        <w:t>(ФИО)</w:t>
      </w:r>
    </w:p>
    <w:p>
      <w:pPr>
        <w:pStyle w:val="BodyText"/>
        <w:ind w:right="149"/>
        <w:jc w:val="right"/>
      </w:pPr>
      <w:r>
        <w:rPr/>
        <w:t>(адрес</w:t>
      </w:r>
      <w:r>
        <w:rPr>
          <w:spacing w:val="-3"/>
        </w:rPr>
        <w:t> </w:t>
      </w:r>
      <w:r>
        <w:rPr/>
        <w:t>для</w:t>
      </w:r>
      <w:r>
        <w:rPr>
          <w:spacing w:val="-1"/>
        </w:rPr>
        <w:t> </w:t>
      </w:r>
      <w:r>
        <w:rPr>
          <w:spacing w:val="-2"/>
        </w:rPr>
        <w:t>корреспонденции)</w:t>
      </w:r>
    </w:p>
    <w:p>
      <w:pPr>
        <w:pStyle w:val="BodyText"/>
        <w:spacing w:before="1"/>
      </w:pPr>
    </w:p>
    <w:p>
      <w:pPr>
        <w:tabs>
          <w:tab w:pos="1847" w:val="left" w:leader="none"/>
        </w:tabs>
        <w:spacing w:before="0"/>
        <w:ind w:left="0" w:right="150" w:firstLine="0"/>
        <w:jc w:val="right"/>
        <w:rPr>
          <w:b/>
          <w:sz w:val="24"/>
        </w:rPr>
      </w:pPr>
      <w:r>
        <w:rPr>
          <w:b/>
          <w:sz w:val="24"/>
        </w:rPr>
        <mc:AlternateContent>
          <mc:Choice Requires="wps">
            <w:drawing>
              <wp:anchor distT="0" distB="0" distL="0" distR="0" allowOverlap="1" layoutInCell="1" locked="0" behindDoc="0" simplePos="0" relativeHeight="15728640">
                <wp:simplePos x="0" y="0"/>
                <wp:positionH relativeFrom="page">
                  <wp:posOffset>6456934</wp:posOffset>
                </wp:positionH>
                <wp:positionV relativeFrom="paragraph">
                  <wp:posOffset>159199</wp:posOffset>
                </wp:positionV>
                <wp:extent cx="38100" cy="152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8100" cy="15240"/>
                        </a:xfrm>
                        <a:custGeom>
                          <a:avLst/>
                          <a:gdLst/>
                          <a:ahLst/>
                          <a:cxnLst/>
                          <a:rect l="l" t="t" r="r" b="b"/>
                          <a:pathLst>
                            <a:path w="38100" h="15240">
                              <a:moveTo>
                                <a:pt x="38100" y="0"/>
                              </a:moveTo>
                              <a:lnTo>
                                <a:pt x="0" y="0"/>
                              </a:lnTo>
                              <a:lnTo>
                                <a:pt x="0" y="15240"/>
                              </a:lnTo>
                              <a:lnTo>
                                <a:pt x="38100" y="15240"/>
                              </a:lnTo>
                              <a:lnTo>
                                <a:pt x="38100" y="0"/>
                              </a:lnTo>
                              <a:close/>
                            </a:path>
                          </a:pathLst>
                        </a:custGeom>
                        <a:solidFill>
                          <a:srgbClr val="383B45"/>
                        </a:solidFill>
                      </wps:spPr>
                      <wps:bodyPr wrap="square" lIns="0" tIns="0" rIns="0" bIns="0" rtlCol="0">
                        <a:prstTxWarp prst="textNoShape">
                          <a:avLst/>
                        </a:prstTxWarp>
                        <a:noAutofit/>
                      </wps:bodyPr>
                    </wps:wsp>
                  </a:graphicData>
                </a:graphic>
              </wp:anchor>
            </w:drawing>
          </mc:Choice>
          <mc:Fallback>
            <w:pict>
              <v:rect style="position:absolute;margin-left:508.420013pt;margin-top:12.53543pt;width:3pt;height:1.2pt;mso-position-horizontal-relative:page;mso-position-vertical-relative:paragraph;z-index:15728640" id="docshape1" filled="true" fillcolor="#383b45" stroked="false">
                <v:fill type="solid"/>
                <w10:wrap type="none"/>
              </v:rect>
            </w:pict>
          </mc:Fallback>
        </mc:AlternateContent>
      </w:r>
      <w:r>
        <w:rPr>
          <w:b/>
          <w:sz w:val="24"/>
          <w:u w:val="single"/>
        </w:rPr>
        <w:t>Дело </w:t>
      </w:r>
      <w:r>
        <w:rPr>
          <w:b/>
          <w:spacing w:val="-10"/>
          <w:sz w:val="24"/>
          <w:u w:val="single"/>
        </w:rPr>
        <w:t>№</w:t>
      </w:r>
      <w:r>
        <w:rPr>
          <w:b/>
          <w:sz w:val="24"/>
          <w:u w:val="single"/>
        </w:rPr>
        <w:tab/>
      </w:r>
    </w:p>
    <w:p>
      <w:pPr>
        <w:pStyle w:val="BodyText"/>
        <w:rPr>
          <w:b/>
        </w:rPr>
      </w:pPr>
    </w:p>
    <w:p>
      <w:pPr>
        <w:pStyle w:val="BodyText"/>
        <w:rPr>
          <w:b/>
        </w:rPr>
      </w:pPr>
    </w:p>
    <w:p>
      <w:pPr>
        <w:pStyle w:val="Heading1"/>
        <w:ind w:left="2985"/>
        <w:jc w:val="left"/>
      </w:pPr>
      <w:r>
        <w:rPr/>
        <w:t>Заявление</w:t>
      </w:r>
      <w:r>
        <w:rPr>
          <w:spacing w:val="-3"/>
        </w:rPr>
        <w:t> </w:t>
      </w:r>
      <w:r>
        <w:rPr/>
        <w:t>об</w:t>
      </w:r>
      <w:r>
        <w:rPr>
          <w:spacing w:val="-3"/>
        </w:rPr>
        <w:t> </w:t>
      </w:r>
      <w:r>
        <w:rPr/>
        <w:t>исключении</w:t>
      </w:r>
      <w:r>
        <w:rPr>
          <w:spacing w:val="-2"/>
        </w:rPr>
        <w:t> </w:t>
      </w:r>
      <w:r>
        <w:rPr/>
        <w:t>из</w:t>
      </w:r>
      <w:r>
        <w:rPr>
          <w:spacing w:val="-3"/>
        </w:rPr>
        <w:t> </w:t>
      </w:r>
      <w:r>
        <w:rPr/>
        <w:t>конкурсной</w:t>
      </w:r>
      <w:r>
        <w:rPr>
          <w:spacing w:val="-2"/>
        </w:rPr>
        <w:t> массы</w:t>
      </w:r>
    </w:p>
    <w:p>
      <w:pPr>
        <w:pStyle w:val="BodyText"/>
        <w:tabs>
          <w:tab w:pos="6599" w:val="left" w:leader="none"/>
        </w:tabs>
        <w:spacing w:line="259" w:lineRule="auto" w:before="180"/>
        <w:ind w:left="12" w:right="151" w:firstLine="828"/>
        <w:jc w:val="both"/>
      </w:pPr>
      <w:r>
        <w:rPr/>
        <w:t>Решением Арбитражного суда от</w:t>
      </w:r>
      <w:r>
        <w:rPr>
          <w:spacing w:val="154"/>
        </w:rPr>
        <w:t> </w:t>
      </w:r>
      <w:r>
        <w:rPr>
          <w:spacing w:val="154"/>
          <w:u w:val="single"/>
        </w:rPr>
        <w:t>  </w:t>
      </w:r>
      <w:r>
        <w:rPr>
          <w:spacing w:val="-9"/>
        </w:rPr>
        <w:t> </w:t>
      </w:r>
      <w:r>
        <w:rPr/>
        <w:t>(дата) по делу № </w:t>
      </w:r>
      <w:r>
        <w:rPr>
          <w:spacing w:val="80"/>
          <w:u w:val="single"/>
        </w:rPr>
        <w:t>   </w:t>
      </w:r>
      <w:r>
        <w:rPr>
          <w:spacing w:val="-9"/>
        </w:rPr>
        <w:t> </w:t>
      </w:r>
      <w:r>
        <w:rPr/>
        <w:t>(ФИО Должника)</w:t>
      </w:r>
      <w:r>
        <w:rPr>
          <w:spacing w:val="80"/>
        </w:rPr>
        <w:t> </w:t>
      </w:r>
      <w:r>
        <w:rPr/>
        <w:t>(дата рождения, место рождения, ИНН, СНИЛС, адрес регистрации) признан несостоятельным/ой (банкротом) в отношении должника введена процедура реализации имущества гражданина. Финансовым управляющим утвержден (ФИО, ИНН, СНИЛС (НП СРО (Название) (адрес, ОГРН, ИНН))). Требования кредиторов принимаются в течение 2-х месяцев по (адрес). Процедура реализации имущества гражданина введена сроком на </w:t>
      </w:r>
      <w:r>
        <w:rPr>
          <w:u w:val="single"/>
        </w:rPr>
        <w:tab/>
      </w:r>
      <w:r>
        <w:rPr>
          <w:spacing w:val="-10"/>
        </w:rPr>
        <w:t>.</w:t>
      </w:r>
    </w:p>
    <w:p>
      <w:pPr>
        <w:pStyle w:val="BodyText"/>
        <w:spacing w:before="21"/>
      </w:pPr>
    </w:p>
    <w:p>
      <w:pPr>
        <w:pStyle w:val="BodyText"/>
        <w:spacing w:line="259" w:lineRule="auto"/>
        <w:ind w:left="12" w:right="155" w:firstLine="708"/>
        <w:jc w:val="both"/>
      </w:pPr>
      <w:r>
        <w:rPr/>
        <w:t>В соответствии с п.39 Постановления Пленума ВС РФ от 13.10.2015 №45 «О некоторых вопросах связанных с введением в действие процедур, применяемых в делах о несостоятельности (банкротстве) граждан», при рассмотрении дел о банкротстве граждан , в том числе индивидуальных предпринимателей, суды должны учитывать необходимость обеспечения справедливого баланса между имущественными интересами кредиторов и личными правами должника (в том числе его правами на достойную жизнь и достоинство личности). Указанное обстоятельство подлежит учету судом, рассматривающем дело о банкротстве, при рассмотрении ходатайства финансового управляющего о предоставлении ему доступа в принадлежащие должнику жилые помещения, к адресам</w:t>
      </w:r>
      <w:r>
        <w:rPr>
          <w:spacing w:val="-3"/>
        </w:rPr>
        <w:t> </w:t>
      </w:r>
      <w:r>
        <w:rPr/>
        <w:t>и</w:t>
      </w:r>
      <w:r>
        <w:rPr>
          <w:spacing w:val="-2"/>
        </w:rPr>
        <w:t> </w:t>
      </w:r>
      <w:r>
        <w:rPr/>
        <w:t>содержимому</w:t>
      </w:r>
      <w:r>
        <w:rPr>
          <w:spacing w:val="-2"/>
        </w:rPr>
        <w:t> </w:t>
      </w:r>
      <w:r>
        <w:rPr/>
        <w:t>электронной</w:t>
      </w:r>
      <w:r>
        <w:rPr>
          <w:spacing w:val="-2"/>
        </w:rPr>
        <w:t> </w:t>
      </w:r>
      <w:r>
        <w:rPr/>
        <w:t>и</w:t>
      </w:r>
      <w:r>
        <w:rPr>
          <w:spacing w:val="-2"/>
        </w:rPr>
        <w:t> </w:t>
      </w:r>
      <w:r>
        <w:rPr/>
        <w:t>обычной</w:t>
      </w:r>
      <w:r>
        <w:rPr>
          <w:spacing w:val="-2"/>
        </w:rPr>
        <w:t> </w:t>
      </w:r>
      <w:r>
        <w:rPr/>
        <w:t>почты</w:t>
      </w:r>
      <w:r>
        <w:rPr>
          <w:spacing w:val="-2"/>
        </w:rPr>
        <w:t> </w:t>
      </w:r>
      <w:r>
        <w:rPr/>
        <w:t>и</w:t>
      </w:r>
      <w:r>
        <w:rPr>
          <w:spacing w:val="-1"/>
        </w:rPr>
        <w:t> </w:t>
      </w:r>
      <w:r>
        <w:rPr/>
        <w:t>т.п.,</w:t>
      </w:r>
      <w:r>
        <w:rPr>
          <w:spacing w:val="-2"/>
        </w:rPr>
        <w:t> </w:t>
      </w:r>
      <w:r>
        <w:rPr/>
        <w:t>а</w:t>
      </w:r>
      <w:r>
        <w:rPr>
          <w:spacing w:val="-3"/>
        </w:rPr>
        <w:t> </w:t>
      </w:r>
      <w:r>
        <w:rPr/>
        <w:t>так</w:t>
      </w:r>
      <w:r>
        <w:rPr>
          <w:spacing w:val="-2"/>
        </w:rPr>
        <w:t> </w:t>
      </w:r>
      <w:r>
        <w:rPr/>
        <w:t>же</w:t>
      </w:r>
      <w:r>
        <w:rPr>
          <w:spacing w:val="-2"/>
        </w:rPr>
        <w:t> </w:t>
      </w:r>
      <w:r>
        <w:rPr/>
        <w:t>при</w:t>
      </w:r>
      <w:r>
        <w:rPr>
          <w:spacing w:val="-1"/>
        </w:rPr>
        <w:t> </w:t>
      </w:r>
      <w:r>
        <w:rPr/>
        <w:t>рассмотрении</w:t>
      </w:r>
      <w:r>
        <w:rPr>
          <w:spacing w:val="-2"/>
        </w:rPr>
        <w:t> </w:t>
      </w:r>
      <w:r>
        <w:rPr/>
        <w:t>ходатайства должника о получении из конкурсной массы денежных средств в разумном размере на оплату личных нужд. Названные ходатайства рассматриваются судом в порядке статьи 60 Закона о </w:t>
      </w:r>
      <w:r>
        <w:rPr>
          <w:spacing w:val="-2"/>
        </w:rPr>
        <w:t>банкротстве.</w:t>
      </w:r>
    </w:p>
    <w:p>
      <w:pPr>
        <w:pStyle w:val="BodyText"/>
        <w:spacing w:line="259" w:lineRule="auto"/>
        <w:ind w:left="12" w:right="150" w:firstLine="708"/>
        <w:jc w:val="both"/>
      </w:pPr>
      <w:r>
        <w:rPr/>
        <w:t>Кроме того, в соответствии с п.3 ст.213.25 Федеральным законом «О несостоятельности (Банкротстве) от 26.10.2002 №127-ФЗ (Далее по тексту – Закон о банкротстве) из конкурсной массы исключается имущество, на которое не может быть обращено взыскание в соответствии с гражданским процессуальным законодательством. Определение об исключении имущества гражданина из конкурсной массы или об отказе в таком исключении может быть обжаловано.</w:t>
      </w:r>
    </w:p>
    <w:p>
      <w:pPr>
        <w:pStyle w:val="BodyText"/>
        <w:ind w:left="12" w:right="152" w:firstLine="840"/>
        <w:jc w:val="both"/>
      </w:pPr>
      <w:r>
        <w:rPr/>
        <w:t>В соответствии с пунктом 1 статьи 213.25 Федерального закона «О несостоятельности (банкротстве) от 26.10.2002 </w:t>
      </w:r>
      <w:hyperlink r:id="rId5">
        <w:r>
          <w:rPr/>
          <w:t>все имущество</w:t>
        </w:r>
      </w:hyperlink>
      <w:r>
        <w:rPr>
          <w:spacing w:val="-2"/>
        </w:rPr>
        <w:t> </w:t>
      </w:r>
      <w:r>
        <w:rPr/>
        <w:t>гражданина, имеющееся на дату принятия решения арбитражного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 составляет конкурсную массу, за исключением имущества, определенного </w:t>
      </w:r>
      <w:hyperlink r:id="rId6">
        <w:r>
          <w:rPr/>
          <w:t>пунктом 3</w:t>
        </w:r>
      </w:hyperlink>
      <w:r>
        <w:rPr/>
        <w:t> настоящей статьи.</w:t>
      </w:r>
    </w:p>
    <w:p>
      <w:pPr>
        <w:pStyle w:val="BodyText"/>
        <w:ind w:left="12" w:right="151" w:firstLine="780"/>
        <w:jc w:val="both"/>
      </w:pPr>
      <w:r>
        <w:rPr/>
        <w:t>Согласно п.2 статьи 213.5 Федерального закона о 26 октября 2002 года №127- ФЗ О несостоятельности (банкротстве) по мотивированному ходатайству гражданина и иных лиц, участвующих в деле о банкротстве гражданина, Арбитражный суд вправе исключить из конкурсной</w:t>
      </w:r>
    </w:p>
    <w:p>
      <w:pPr>
        <w:pStyle w:val="BodyText"/>
        <w:spacing w:after="0"/>
        <w:jc w:val="both"/>
        <w:sectPr>
          <w:type w:val="continuous"/>
          <w:pgSz w:w="11910" w:h="16840"/>
          <w:pgMar w:top="1220" w:bottom="280" w:left="708" w:right="566"/>
        </w:sectPr>
      </w:pPr>
    </w:p>
    <w:p>
      <w:pPr>
        <w:pStyle w:val="BodyText"/>
        <w:spacing w:before="60"/>
        <w:ind w:left="12" w:right="160"/>
        <w:jc w:val="both"/>
      </w:pPr>
      <w:r>
        <w:rPr/>
        <w:t>массы имущество гражданина, на которое в соответствии с федеральным законом может быть обращено взыскание по исполнительным документам и доход, от реализации которого существенно не повлияет на удовлетворение требований кредиторов.</w:t>
      </w:r>
    </w:p>
    <w:p>
      <w:pPr>
        <w:spacing w:before="1"/>
        <w:ind w:left="12" w:right="152" w:firstLine="566"/>
        <w:jc w:val="both"/>
        <w:rPr>
          <w:b/>
          <w:sz w:val="24"/>
        </w:rPr>
      </w:pPr>
      <w:r>
        <w:rPr>
          <w:sz w:val="24"/>
        </w:rPr>
        <w:t>Я – </w:t>
      </w:r>
      <w:r>
        <w:rPr>
          <w:b/>
          <w:sz w:val="24"/>
        </w:rPr>
        <w:t>(ФИО)</w:t>
      </w:r>
      <w:r>
        <w:rPr>
          <w:sz w:val="24"/>
        </w:rPr>
        <w:t>, на моем иждивении находится несовершеннолетний </w:t>
      </w:r>
      <w:r>
        <w:rPr>
          <w:b/>
          <w:sz w:val="24"/>
        </w:rPr>
        <w:t>ребенок/дети </w:t>
      </w:r>
      <w:r>
        <w:rPr>
          <w:sz w:val="24"/>
        </w:rPr>
        <w:t>(ФИО) — (дата рождения), у которого диагностирована </w:t>
      </w:r>
      <w:r>
        <w:rPr>
          <w:b/>
          <w:sz w:val="24"/>
        </w:rPr>
        <w:t>(инвалидность/болезнь)</w:t>
      </w:r>
    </w:p>
    <w:p>
      <w:pPr>
        <w:pStyle w:val="BodyText"/>
        <w:tabs>
          <w:tab w:pos="10151" w:val="left" w:leader="none"/>
          <w:tab w:pos="10420" w:val="left" w:leader="none"/>
        </w:tabs>
        <w:ind w:left="12" w:right="150" w:firstLine="626"/>
        <w:jc w:val="both"/>
      </w:pPr>
      <w:r>
        <w:rPr/>
        <w:t>У меня в собственности находится транспортное средство (марка и год выпуска), VIN: </w:t>
      </w:r>
      <w:r>
        <w:rPr>
          <w:u w:val="single"/>
        </w:rPr>
        <w:tab/>
        <w:tab/>
      </w:r>
      <w:r>
        <w:rPr>
          <w:spacing w:val="-10"/>
        </w:rPr>
        <w:t>, </w:t>
      </w:r>
      <w:r>
        <w:rPr/>
        <w:t>которое</w:t>
      </w:r>
      <w:r>
        <w:rPr>
          <w:spacing w:val="-4"/>
        </w:rPr>
        <w:t> </w:t>
      </w:r>
      <w:r>
        <w:rPr/>
        <w:t>необходимо</w:t>
      </w:r>
      <w:r>
        <w:rPr>
          <w:spacing w:val="-3"/>
        </w:rPr>
        <w:t> </w:t>
      </w:r>
      <w:r>
        <w:rPr/>
        <w:t>для</w:t>
      </w:r>
      <w:r>
        <w:rPr>
          <w:spacing w:val="-3"/>
        </w:rPr>
        <w:t> </w:t>
      </w:r>
      <w:r>
        <w:rPr/>
        <w:t>постоянных</w:t>
      </w:r>
      <w:r>
        <w:rPr>
          <w:spacing w:val="-3"/>
        </w:rPr>
        <w:t> </w:t>
      </w:r>
      <w:r>
        <w:rPr/>
        <w:t>наблюдений</w:t>
      </w:r>
      <w:r>
        <w:rPr>
          <w:spacing w:val="-3"/>
        </w:rPr>
        <w:t> </w:t>
      </w:r>
      <w:r>
        <w:rPr/>
        <w:t>у</w:t>
      </w:r>
      <w:r>
        <w:rPr>
          <w:spacing w:val="-3"/>
        </w:rPr>
        <w:t> </w:t>
      </w:r>
      <w:r>
        <w:rPr/>
        <w:t>врачей,</w:t>
      </w:r>
      <w:r>
        <w:rPr>
          <w:spacing w:val="-3"/>
        </w:rPr>
        <w:t> </w:t>
      </w:r>
      <w:r>
        <w:rPr/>
        <w:t>обследований,</w:t>
      </w:r>
      <w:r>
        <w:rPr>
          <w:spacing w:val="-3"/>
        </w:rPr>
        <w:t> </w:t>
      </w:r>
      <w:r>
        <w:rPr/>
        <w:t>а</w:t>
      </w:r>
      <w:r>
        <w:rPr>
          <w:spacing w:val="-4"/>
        </w:rPr>
        <w:t> </w:t>
      </w:r>
      <w:r>
        <w:rPr/>
        <w:t>также</w:t>
      </w:r>
      <w:r>
        <w:rPr>
          <w:spacing w:val="-3"/>
        </w:rPr>
        <w:t> </w:t>
      </w:r>
      <w:r>
        <w:rPr/>
        <w:t>перевозки</w:t>
      </w:r>
      <w:r>
        <w:rPr>
          <w:spacing w:val="-3"/>
        </w:rPr>
        <w:t> </w:t>
      </w:r>
      <w:r>
        <w:rPr/>
        <w:t>ребенка до</w:t>
      </w:r>
      <w:r>
        <w:rPr>
          <w:spacing w:val="40"/>
        </w:rPr>
        <w:t> </w:t>
      </w:r>
      <w:r>
        <w:rPr>
          <w:b/>
        </w:rPr>
        <w:t>(садика/школы)</w:t>
      </w:r>
      <w:r>
        <w:rPr>
          <w:b/>
          <w:spacing w:val="40"/>
        </w:rPr>
        <w:t> </w:t>
      </w:r>
      <w:r>
        <w:rPr/>
        <w:t>и</w:t>
      </w:r>
      <w:r>
        <w:rPr>
          <w:spacing w:val="40"/>
        </w:rPr>
        <w:t> </w:t>
      </w:r>
      <w:r>
        <w:rPr/>
        <w:t>обратно</w:t>
      </w:r>
      <w:r>
        <w:rPr>
          <w:spacing w:val="40"/>
        </w:rPr>
        <w:t> </w:t>
      </w:r>
      <w:r>
        <w:rPr/>
        <w:t>ежедневно,</w:t>
      </w:r>
      <w:r>
        <w:rPr>
          <w:spacing w:val="40"/>
        </w:rPr>
        <w:t> </w:t>
      </w:r>
      <w:r>
        <w:rPr/>
        <w:t>так</w:t>
      </w:r>
      <w:r>
        <w:rPr>
          <w:spacing w:val="40"/>
        </w:rPr>
        <w:t> </w:t>
      </w:r>
      <w:r>
        <w:rPr/>
        <w:t>как</w:t>
      </w:r>
      <w:r>
        <w:rPr>
          <w:spacing w:val="40"/>
        </w:rPr>
        <w:t> </w:t>
      </w:r>
      <w:r>
        <w:rPr/>
        <w:t>с</w:t>
      </w:r>
      <w:r>
        <w:rPr>
          <w:spacing w:val="48"/>
        </w:rPr>
        <w:t> </w:t>
      </w:r>
      <w:r>
        <w:rPr>
          <w:spacing w:val="80"/>
          <w:u w:val="single"/>
        </w:rPr>
        <w:t>   </w:t>
      </w:r>
      <w:r>
        <w:rPr>
          <w:spacing w:val="20"/>
        </w:rPr>
        <w:t> </w:t>
      </w:r>
      <w:r>
        <w:rPr/>
        <w:t>года</w:t>
      </w:r>
      <w:r>
        <w:rPr>
          <w:spacing w:val="40"/>
        </w:rPr>
        <w:t> </w:t>
      </w:r>
      <w:r>
        <w:rPr/>
        <w:t>поставлен</w:t>
      </w:r>
      <w:r>
        <w:rPr>
          <w:spacing w:val="40"/>
        </w:rPr>
        <w:t> </w:t>
      </w:r>
      <w:r>
        <w:rPr/>
        <w:t>диагноз—</w:t>
      </w:r>
      <w:r>
        <w:rPr>
          <w:spacing w:val="48"/>
        </w:rPr>
        <w:t> </w:t>
      </w:r>
      <w:r>
        <w:rPr>
          <w:b/>
          <w:u w:val="single"/>
        </w:rPr>
        <w:tab/>
      </w:r>
      <w:r>
        <w:rPr>
          <w:b/>
        </w:rPr>
        <w:t>. </w:t>
      </w:r>
      <w:r>
        <w:rPr/>
        <w:t>В качестве последствий: </w:t>
      </w:r>
      <w:r>
        <w:rPr>
          <w:b/>
        </w:rPr>
        <w:t>(особенности передвижения, самочувствия) </w:t>
      </w:r>
      <w:r>
        <w:rPr/>
        <w:t>, приходится максимально</w:t>
      </w:r>
      <w:r>
        <w:rPr>
          <w:spacing w:val="40"/>
        </w:rPr>
        <w:t> </w:t>
      </w:r>
      <w:r>
        <w:rPr/>
        <w:t>везде использовать транспортное средство, дабы не ухудшить состояние.</w:t>
      </w:r>
    </w:p>
    <w:p>
      <w:pPr>
        <w:pStyle w:val="BodyText"/>
        <w:ind w:left="12" w:right="150" w:firstLine="566"/>
        <w:jc w:val="both"/>
      </w:pPr>
      <w:r>
        <w:rPr/>
        <w:t>Лишение семьи должника транспортного средства в данном случае приводит к нарушению личных неимущественных прав несовершеннолетнего ребенка на передвижение, получение образования и медицинской помощи.</w:t>
      </w:r>
    </w:p>
    <w:p>
      <w:pPr>
        <w:pStyle w:val="Heading1"/>
        <w:ind w:left="12" w:right="156" w:firstLine="566"/>
        <w:jc w:val="both"/>
      </w:pPr>
      <w:r>
        <w:rPr/>
        <w:t>В случае, если должник, либо его ближайший родственник (супруг, дети) является инвалидом, либо имеются показания по состоянию здоровья о необходимости перемещения с помощью личного автомобиля, то в данном случае автомобиль исключается из конкурсной </w:t>
      </w:r>
      <w:r>
        <w:rPr>
          <w:spacing w:val="-2"/>
        </w:rPr>
        <w:t>массы.</w:t>
      </w:r>
    </w:p>
    <w:p>
      <w:pPr>
        <w:spacing w:before="1"/>
        <w:ind w:left="12" w:right="153" w:firstLine="566"/>
        <w:jc w:val="both"/>
        <w:rPr>
          <w:sz w:val="24"/>
        </w:rPr>
      </w:pPr>
      <w:r>
        <w:rPr>
          <w:sz w:val="24"/>
        </w:rPr>
        <w:t>Согласно правовой позиции Конституционного Суда Российской Федерации, приведенной в Постановлении от 12.07.2007 N 10-П, необходимость обеспечения баланса интересов кредитора и гражданина-должника требует защиты прав последнего путем не только соблюдения минимальных стандартов правовой защиты, отражающих применение мер исключительно правового принуждения к исполнению должником своих обязательств, но и </w:t>
      </w:r>
      <w:r>
        <w:rPr>
          <w:b/>
          <w:sz w:val="24"/>
        </w:rPr>
        <w:t>сохранения для него и лиц, находящихся на</w:t>
      </w:r>
      <w:r>
        <w:rPr>
          <w:b/>
          <w:spacing w:val="40"/>
          <w:sz w:val="24"/>
        </w:rPr>
        <w:t> </w:t>
      </w:r>
      <w:r>
        <w:rPr>
          <w:b/>
          <w:sz w:val="24"/>
        </w:rPr>
        <w:t>его иждивении, необходимого уровня существования, с тем чтобы не оставить их за пределами социальной жизни</w:t>
      </w:r>
      <w:r>
        <w:rPr>
          <w:sz w:val="24"/>
        </w:rPr>
        <w:t>.</w:t>
      </w:r>
    </w:p>
    <w:p>
      <w:pPr>
        <w:pStyle w:val="BodyText"/>
        <w:ind w:left="12" w:right="151" w:firstLine="720"/>
        <w:jc w:val="both"/>
      </w:pPr>
      <w:r>
        <w:rPr/>
        <w:t>Необходимость обеспечения баланса интересов кредиторов и гражданина-должника требует защиты прав последнего путем не только соблюдения минимальных стандартов правовой защиты, отражающих применение мер исключительно правового принуждения к исполнению Должником своих обязательств, но и сохранения для него и лиц, находящихся на его иждивении, необходимого уровня существования, с тем чтобы не оставить их за пределами социальной жизни. (постановление Конституционного Суда Российской Федерации от 12 июля 2007 года №10-П).</w:t>
      </w:r>
    </w:p>
    <w:p>
      <w:pPr>
        <w:pStyle w:val="BodyText"/>
        <w:spacing w:before="1"/>
        <w:ind w:left="12" w:right="150" w:firstLine="660"/>
        <w:jc w:val="both"/>
      </w:pPr>
      <w:r>
        <w:rPr/>
        <w:t>Как следует из п.2 Постановления Пленума Верховного суда РФ от 25.12.2018г. №48 «о некоторых вопросах, связанных с особенностями формирования и распределения конкурсной массы в делах о банкротстве граждан», в исключительных случаях для обеспечения самого должника и его иждивенцев средствами для нормального существования суд по мотивированному ходатайству гражданина может дополнительно исключить из конкурсной массы имущество общей стоимостью свыше 10 тыс. рублей, соблюдая при этом баланс интересов Должника (его иждивенцев) и кредиторов. В исключительных случаях, в целях обеспечения самого должника и лиц, находящихся на его иждивении, средствами, необходимыми для нормального существования, суд по мотивированному ходатайству гражданина вправе дополнительно исключить из конкурсной массы имущество в большем размере (например, если должник или лица, находящиеся на его иждивении, по состоянию здоровья объективно нуждаются в приобретении дорогостоящих лекарственных препаратов или медицинских услуг и исключенной из конкурсной массы суммы недостаточно для покрытия соответствующих расходов). При этом должен соблюдаться баланс интересов должника, лиц, находящихся на его иждивении, с одной стороны, и кредиторов, имеющих право на получение удовлетворения за счет конкурсной массы, с другой стороны.</w:t>
      </w:r>
    </w:p>
    <w:p>
      <w:pPr>
        <w:pStyle w:val="BodyText"/>
      </w:pPr>
    </w:p>
    <w:p>
      <w:pPr>
        <w:pStyle w:val="BodyText"/>
        <w:spacing w:before="1"/>
        <w:ind w:left="792"/>
      </w:pPr>
      <w:r>
        <w:rPr/>
        <w:t>На</w:t>
      </w:r>
      <w:r>
        <w:rPr>
          <w:spacing w:val="-4"/>
        </w:rPr>
        <w:t> </w:t>
      </w:r>
      <w:r>
        <w:rPr/>
        <w:t>основании</w:t>
      </w:r>
      <w:r>
        <w:rPr>
          <w:spacing w:val="-1"/>
        </w:rPr>
        <w:t> </w:t>
      </w:r>
      <w:r>
        <w:rPr>
          <w:spacing w:val="-2"/>
        </w:rPr>
        <w:t>вышесказанного,</w:t>
      </w:r>
    </w:p>
    <w:p>
      <w:pPr>
        <w:pStyle w:val="Heading1"/>
        <w:spacing w:before="276"/>
        <w:ind w:right="137"/>
        <w:jc w:val="center"/>
      </w:pPr>
      <w:r>
        <w:rPr>
          <w:spacing w:val="-2"/>
        </w:rPr>
        <w:t>ПРОШУ:</w:t>
      </w:r>
    </w:p>
    <w:p>
      <w:pPr>
        <w:tabs>
          <w:tab w:pos="4227" w:val="left" w:leader="none"/>
        </w:tabs>
        <w:spacing w:before="0"/>
        <w:ind w:left="12" w:right="149" w:firstLine="960"/>
        <w:jc w:val="left"/>
        <w:rPr>
          <w:sz w:val="24"/>
        </w:rPr>
      </w:pPr>
      <w:r>
        <w:rPr>
          <w:sz w:val="24"/>
        </w:rPr>
        <w:t>- исключить из конкурсной массы</w:t>
      </w:r>
      <w:r>
        <w:rPr>
          <w:spacing w:val="31"/>
          <w:sz w:val="24"/>
        </w:rPr>
        <w:t> </w:t>
      </w:r>
      <w:r>
        <w:rPr>
          <w:b/>
          <w:sz w:val="24"/>
        </w:rPr>
        <w:t>(ФИО Должника) </w:t>
      </w:r>
      <w:r>
        <w:rPr>
          <w:sz w:val="24"/>
        </w:rPr>
        <w:t>транспортное средство</w:t>
      </w:r>
      <w:r>
        <w:rPr>
          <w:spacing w:val="32"/>
          <w:sz w:val="24"/>
        </w:rPr>
        <w:t> </w:t>
      </w:r>
      <w:r>
        <w:rPr>
          <w:b/>
          <w:sz w:val="24"/>
        </w:rPr>
        <w:t>(марка, год</w:t>
      </w:r>
      <w:r>
        <w:rPr>
          <w:b/>
          <w:spacing w:val="40"/>
          <w:sz w:val="24"/>
        </w:rPr>
        <w:t> </w:t>
      </w:r>
      <w:r>
        <w:rPr>
          <w:b/>
          <w:sz w:val="24"/>
        </w:rPr>
        <w:t>выпуска)</w:t>
      </w:r>
      <w:r>
        <w:rPr>
          <w:sz w:val="24"/>
        </w:rPr>
        <w:t>, VIN: </w:t>
      </w:r>
      <w:r>
        <w:rPr>
          <w:sz w:val="24"/>
          <w:u w:val="single"/>
        </w:rPr>
        <w:tab/>
      </w:r>
      <w:r>
        <w:rPr>
          <w:spacing w:val="-10"/>
          <w:sz w:val="24"/>
        </w:rPr>
        <w:t>.</w:t>
      </w:r>
    </w:p>
    <w:p>
      <w:pPr>
        <w:pStyle w:val="BodyText"/>
        <w:spacing w:before="273"/>
        <w:ind w:left="12"/>
      </w:pPr>
      <w:r>
        <w:rPr>
          <w:spacing w:val="-2"/>
        </w:rPr>
        <w:t>Приложение:</w:t>
      </w:r>
    </w:p>
    <w:p>
      <w:pPr>
        <w:pStyle w:val="ListParagraph"/>
        <w:numPr>
          <w:ilvl w:val="0"/>
          <w:numId w:val="1"/>
        </w:numPr>
        <w:tabs>
          <w:tab w:pos="731" w:val="left" w:leader="none"/>
        </w:tabs>
        <w:spacing w:line="240" w:lineRule="auto" w:before="0" w:after="0"/>
        <w:ind w:left="731" w:right="0" w:hanging="359"/>
        <w:jc w:val="left"/>
        <w:rPr>
          <w:i/>
          <w:sz w:val="24"/>
        </w:rPr>
      </w:pPr>
      <w:r>
        <w:rPr>
          <w:i/>
          <w:sz w:val="24"/>
        </w:rPr>
        <w:t>Копия</w:t>
      </w:r>
      <w:r>
        <w:rPr>
          <w:i/>
          <w:spacing w:val="-1"/>
          <w:sz w:val="24"/>
        </w:rPr>
        <w:t> </w:t>
      </w:r>
      <w:r>
        <w:rPr>
          <w:i/>
          <w:sz w:val="24"/>
        </w:rPr>
        <w:t>осмотра</w:t>
      </w:r>
      <w:r>
        <w:rPr>
          <w:i/>
          <w:spacing w:val="-1"/>
          <w:sz w:val="24"/>
        </w:rPr>
        <w:t> </w:t>
      </w:r>
      <w:r>
        <w:rPr>
          <w:i/>
          <w:spacing w:val="-2"/>
          <w:sz w:val="24"/>
        </w:rPr>
        <w:t>врача;</w:t>
      </w:r>
    </w:p>
    <w:p>
      <w:pPr>
        <w:pStyle w:val="ListParagraph"/>
        <w:numPr>
          <w:ilvl w:val="0"/>
          <w:numId w:val="1"/>
        </w:numPr>
        <w:tabs>
          <w:tab w:pos="731" w:val="left" w:leader="none"/>
        </w:tabs>
        <w:spacing w:line="240" w:lineRule="auto" w:before="0" w:after="0"/>
        <w:ind w:left="731" w:right="0" w:hanging="359"/>
        <w:jc w:val="left"/>
        <w:rPr>
          <w:i/>
          <w:sz w:val="24"/>
        </w:rPr>
      </w:pPr>
      <w:r>
        <w:rPr>
          <w:i/>
          <w:sz w:val="24"/>
        </w:rPr>
        <w:t>Копия </w:t>
      </w:r>
      <w:r>
        <w:rPr>
          <w:i/>
          <w:spacing w:val="-2"/>
          <w:sz w:val="24"/>
        </w:rPr>
        <w:t>обследования;</w:t>
      </w:r>
    </w:p>
    <w:p>
      <w:pPr>
        <w:pStyle w:val="ListParagraph"/>
        <w:spacing w:after="0" w:line="240" w:lineRule="auto"/>
        <w:jc w:val="left"/>
        <w:rPr>
          <w:i/>
          <w:sz w:val="24"/>
        </w:rPr>
        <w:sectPr>
          <w:pgSz w:w="11910" w:h="16840"/>
          <w:pgMar w:top="640" w:bottom="280" w:left="708" w:right="566"/>
        </w:sectPr>
      </w:pPr>
    </w:p>
    <w:p>
      <w:pPr>
        <w:pStyle w:val="ListParagraph"/>
        <w:numPr>
          <w:ilvl w:val="0"/>
          <w:numId w:val="1"/>
        </w:numPr>
        <w:tabs>
          <w:tab w:pos="731" w:val="left" w:leader="none"/>
        </w:tabs>
        <w:spacing w:line="240" w:lineRule="auto" w:before="60" w:after="0"/>
        <w:ind w:left="731" w:right="0" w:hanging="359"/>
        <w:jc w:val="left"/>
        <w:rPr>
          <w:i/>
          <w:sz w:val="24"/>
        </w:rPr>
      </w:pPr>
      <w:r>
        <w:rPr>
          <w:i/>
          <w:sz w:val="24"/>
        </w:rPr>
        <w:t>Копия </w:t>
      </w:r>
      <w:r>
        <w:rPr>
          <w:i/>
          <w:spacing w:val="-2"/>
          <w:sz w:val="24"/>
        </w:rPr>
        <w:t>заключения;</w:t>
      </w:r>
    </w:p>
    <w:p>
      <w:pPr>
        <w:pStyle w:val="ListParagraph"/>
        <w:numPr>
          <w:ilvl w:val="0"/>
          <w:numId w:val="1"/>
        </w:numPr>
        <w:tabs>
          <w:tab w:pos="731" w:val="left" w:leader="none"/>
        </w:tabs>
        <w:spacing w:line="240" w:lineRule="auto" w:before="0" w:after="0"/>
        <w:ind w:left="731" w:right="0" w:hanging="359"/>
        <w:jc w:val="left"/>
        <w:rPr>
          <w:sz w:val="24"/>
        </w:rPr>
      </w:pPr>
      <w:r>
        <w:rPr>
          <w:sz w:val="24"/>
        </w:rPr>
        <w:t>Почтовая</w:t>
      </w:r>
      <w:r>
        <w:rPr>
          <w:spacing w:val="-3"/>
          <w:sz w:val="24"/>
        </w:rPr>
        <w:t> </w:t>
      </w:r>
      <w:r>
        <w:rPr>
          <w:sz w:val="24"/>
        </w:rPr>
        <w:t>квитанция</w:t>
      </w:r>
      <w:r>
        <w:rPr>
          <w:spacing w:val="-2"/>
          <w:sz w:val="24"/>
        </w:rPr>
        <w:t> </w:t>
      </w:r>
      <w:r>
        <w:rPr>
          <w:sz w:val="24"/>
        </w:rPr>
        <w:t>в</w:t>
      </w:r>
      <w:r>
        <w:rPr>
          <w:spacing w:val="-3"/>
          <w:sz w:val="24"/>
        </w:rPr>
        <w:t> </w:t>
      </w:r>
      <w:r>
        <w:rPr>
          <w:sz w:val="24"/>
        </w:rPr>
        <w:t>адрес</w:t>
      </w:r>
      <w:r>
        <w:rPr>
          <w:spacing w:val="-2"/>
          <w:sz w:val="24"/>
        </w:rPr>
        <w:t> </w:t>
      </w:r>
      <w:r>
        <w:rPr>
          <w:sz w:val="24"/>
        </w:rPr>
        <w:t>финансового</w:t>
      </w:r>
      <w:r>
        <w:rPr>
          <w:spacing w:val="-2"/>
          <w:sz w:val="24"/>
        </w:rPr>
        <w:t> </w:t>
      </w:r>
      <w:r>
        <w:rPr>
          <w:sz w:val="24"/>
        </w:rPr>
        <w:t>управляющего</w:t>
      </w:r>
      <w:r>
        <w:rPr>
          <w:spacing w:val="-2"/>
          <w:sz w:val="24"/>
        </w:rPr>
        <w:t> </w:t>
      </w:r>
      <w:r>
        <w:rPr>
          <w:sz w:val="24"/>
        </w:rPr>
        <w:t>и</w:t>
      </w:r>
      <w:r>
        <w:rPr>
          <w:spacing w:val="-2"/>
          <w:sz w:val="24"/>
        </w:rPr>
        <w:t> кредиторов.</w:t>
      </w:r>
    </w:p>
    <w:p>
      <w:pPr>
        <w:pStyle w:val="BodyText"/>
      </w:pPr>
    </w:p>
    <w:p>
      <w:pPr>
        <w:pStyle w:val="BodyText"/>
      </w:pPr>
    </w:p>
    <w:p>
      <w:pPr>
        <w:pStyle w:val="BodyText"/>
      </w:pPr>
    </w:p>
    <w:p>
      <w:pPr>
        <w:pStyle w:val="BodyText"/>
        <w:spacing w:before="1"/>
      </w:pPr>
    </w:p>
    <w:p>
      <w:pPr>
        <w:tabs>
          <w:tab w:pos="7676" w:val="left" w:leader="none"/>
          <w:tab w:pos="8967" w:val="left" w:leader="none"/>
        </w:tabs>
        <w:spacing w:before="0"/>
        <w:ind w:left="12" w:right="0" w:firstLine="0"/>
        <w:jc w:val="left"/>
        <w:rPr>
          <w:b/>
          <w:sz w:val="24"/>
        </w:rPr>
      </w:pPr>
      <w:r>
        <w:rPr>
          <w:b/>
          <w:spacing w:val="-4"/>
          <w:sz w:val="24"/>
        </w:rPr>
        <w:t>Дата</w:t>
      </w:r>
      <w:r>
        <w:rPr>
          <w:b/>
          <w:sz w:val="24"/>
        </w:rPr>
        <w:tab/>
      </w:r>
      <w:r>
        <w:rPr>
          <w:b/>
          <w:spacing w:val="-2"/>
          <w:sz w:val="24"/>
        </w:rPr>
        <w:t>(подпись)</w:t>
      </w:r>
      <w:r>
        <w:rPr>
          <w:b/>
          <w:sz w:val="24"/>
        </w:rPr>
        <w:tab/>
      </w:r>
      <w:r>
        <w:rPr>
          <w:b/>
          <w:spacing w:val="-2"/>
          <w:sz w:val="24"/>
        </w:rPr>
        <w:t>(ФИО)</w:t>
      </w:r>
    </w:p>
    <w:sectPr>
      <w:pgSz w:w="11910" w:h="16840"/>
      <w:pgMar w:top="640" w:bottom="280" w:left="708"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32" w:hanging="361"/>
        <w:jc w:val="left"/>
      </w:pPr>
      <w:rPr>
        <w:rFonts w:hint="default"/>
        <w:spacing w:val="0"/>
        <w:w w:val="100"/>
        <w:lang w:val="ru-RU" w:eastAsia="en-US" w:bidi="ar-SA"/>
      </w:rPr>
    </w:lvl>
    <w:lvl w:ilvl="1">
      <w:start w:val="0"/>
      <w:numFmt w:val="bullet"/>
      <w:lvlText w:val="•"/>
      <w:lvlJc w:val="left"/>
      <w:pPr>
        <w:ind w:left="1729" w:hanging="361"/>
      </w:pPr>
      <w:rPr>
        <w:rFonts w:hint="default"/>
        <w:lang w:val="ru-RU" w:eastAsia="en-US" w:bidi="ar-SA"/>
      </w:rPr>
    </w:lvl>
    <w:lvl w:ilvl="2">
      <w:start w:val="0"/>
      <w:numFmt w:val="bullet"/>
      <w:lvlText w:val="•"/>
      <w:lvlJc w:val="left"/>
      <w:pPr>
        <w:ind w:left="2718" w:hanging="361"/>
      </w:pPr>
      <w:rPr>
        <w:rFonts w:hint="default"/>
        <w:lang w:val="ru-RU" w:eastAsia="en-US" w:bidi="ar-SA"/>
      </w:rPr>
    </w:lvl>
    <w:lvl w:ilvl="3">
      <w:start w:val="0"/>
      <w:numFmt w:val="bullet"/>
      <w:lvlText w:val="•"/>
      <w:lvlJc w:val="left"/>
      <w:pPr>
        <w:ind w:left="3707" w:hanging="361"/>
      </w:pPr>
      <w:rPr>
        <w:rFonts w:hint="default"/>
        <w:lang w:val="ru-RU" w:eastAsia="en-US" w:bidi="ar-SA"/>
      </w:rPr>
    </w:lvl>
    <w:lvl w:ilvl="4">
      <w:start w:val="0"/>
      <w:numFmt w:val="bullet"/>
      <w:lvlText w:val="•"/>
      <w:lvlJc w:val="left"/>
      <w:pPr>
        <w:ind w:left="4696" w:hanging="361"/>
      </w:pPr>
      <w:rPr>
        <w:rFonts w:hint="default"/>
        <w:lang w:val="ru-RU" w:eastAsia="en-US" w:bidi="ar-SA"/>
      </w:rPr>
    </w:lvl>
    <w:lvl w:ilvl="5">
      <w:start w:val="0"/>
      <w:numFmt w:val="bullet"/>
      <w:lvlText w:val="•"/>
      <w:lvlJc w:val="left"/>
      <w:pPr>
        <w:ind w:left="5686" w:hanging="361"/>
      </w:pPr>
      <w:rPr>
        <w:rFonts w:hint="default"/>
        <w:lang w:val="ru-RU" w:eastAsia="en-US" w:bidi="ar-SA"/>
      </w:rPr>
    </w:lvl>
    <w:lvl w:ilvl="6">
      <w:start w:val="0"/>
      <w:numFmt w:val="bullet"/>
      <w:lvlText w:val="•"/>
      <w:lvlJc w:val="left"/>
      <w:pPr>
        <w:ind w:left="6675" w:hanging="361"/>
      </w:pPr>
      <w:rPr>
        <w:rFonts w:hint="default"/>
        <w:lang w:val="ru-RU" w:eastAsia="en-US" w:bidi="ar-SA"/>
      </w:rPr>
    </w:lvl>
    <w:lvl w:ilvl="7">
      <w:start w:val="0"/>
      <w:numFmt w:val="bullet"/>
      <w:lvlText w:val="•"/>
      <w:lvlJc w:val="left"/>
      <w:pPr>
        <w:ind w:left="7664" w:hanging="361"/>
      </w:pPr>
      <w:rPr>
        <w:rFonts w:hint="default"/>
        <w:lang w:val="ru-RU" w:eastAsia="en-US" w:bidi="ar-SA"/>
      </w:rPr>
    </w:lvl>
    <w:lvl w:ilvl="8">
      <w:start w:val="0"/>
      <w:numFmt w:val="bullet"/>
      <w:lvlText w:val="•"/>
      <w:lvlJc w:val="left"/>
      <w:pPr>
        <w:ind w:left="8653" w:hanging="361"/>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jc w:val="right"/>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731" w:hanging="359"/>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onsultant.ru/document/cons_doc_LAW_314621/#dst100005" TargetMode="External"/><Relationship Id="rId6" Type="http://schemas.openxmlformats.org/officeDocument/2006/relationships/hyperlink" Target="http://www.consultant.ru/document/cons_doc_LAW_406292/983c75db2bb62ae074dabf4824be041ed1577ca4/#dst5745"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Каспар Хачиков</dc:creator>
  <dcterms:created xsi:type="dcterms:W3CDTF">2026-04-17T07:22:55Z</dcterms:created>
  <dcterms:modified xsi:type="dcterms:W3CDTF">2026-04-17T07:22:55Z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2019</vt:lpwstr>
  </property>
  <property fmtid="{D5CDD505-2E9C-101B-9397-08002B2CF9AE}" pid="5" name="LastSaved">
    <vt:filetime>2026-04-17T00:00:00Z</vt:filetime>
  </property>
  <property fmtid="{D5CDD505-2E9C-101B-9397-08002B2CF9AE}" pid="6" name="Producer">
    <vt:lpwstr>Microsoft® Word 2019</vt:lpwstr>
  </property>
</Properties>
</file>